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</w:rPr>
      </w:pPr>
      <w:r>
        <w:rPr>
          <w:b/>
          <w:sz w:val="28"/>
        </w:rPr>
        <w:t xml:space="preserve">ПОЯСНИТЕЛЬНАЯ ЗАПИСКА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к проекту решения Думы города Владивостока «О принятии 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правового акта города Владивостока «О внесении изменений в муниципальный правовой акт города Владивостока от 17.12.2024 № 145-МПА «О бюджете Владивостокского  городского округа 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на 2025 год и плановый период 2026 и 2027 годов»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firstLine="709"/>
        <w:jc w:val="both"/>
        <w:spacing w:line="360" w:lineRule="auto"/>
        <w:rPr>
          <w:sz w:val="28"/>
        </w:rPr>
      </w:pPr>
      <w:r>
        <w:rPr>
          <w:sz w:val="28"/>
        </w:rPr>
        <w:t xml:space="preserve">Внесение изменений в муниципальный правовой акт города Владивостока от 17.12.2024 № 145-МП</w:t>
      </w:r>
      <w:r>
        <w:rPr>
          <w:sz w:val="28"/>
        </w:rPr>
        <w:t xml:space="preserve">А</w:t>
      </w:r>
      <w:r>
        <w:rPr>
          <w:sz w:val="28"/>
        </w:rPr>
        <w:t xml:space="preserve"> «О бюджете Владивостокского городского округа на 2025 год и плановый период 2026 и 2027 годов» (далее – проект) обусловлено необходимостью корректировки доходной и расходной частей бюджета Владивостокского городского округа в связи с уточнением  объемов </w:t>
      </w:r>
      <w:r>
        <w:rPr>
          <w:sz w:val="28"/>
          <w:szCs w:val="28"/>
        </w:rPr>
        <w:t xml:space="preserve">налоговых и  неналоговых  доходов</w:t>
      </w:r>
      <w:r>
        <w:rPr>
          <w:sz w:val="28"/>
          <w:szCs w:val="28"/>
        </w:rPr>
        <w:t xml:space="preserve">. </w:t>
      </w:r>
      <w:r>
        <w:rPr>
          <w:sz w:val="28"/>
        </w:rPr>
      </w:r>
      <w:r>
        <w:rPr>
          <w:sz w:val="28"/>
        </w:rPr>
      </w:r>
    </w:p>
    <w:p>
      <w:pPr>
        <w:contextualSpacing/>
        <w:ind w:firstLine="709"/>
        <w:jc w:val="both"/>
        <w:spacing w:line="360" w:lineRule="auto"/>
        <w:rPr>
          <w:sz w:val="28"/>
        </w:rPr>
      </w:pPr>
      <w:r>
        <w:rPr>
          <w:sz w:val="28"/>
          <w:szCs w:val="28"/>
        </w:rPr>
        <w:t xml:space="preserve">1. В связи с вносимыми изменениями параметры </w:t>
      </w:r>
      <w:r>
        <w:rPr>
          <w:sz w:val="28"/>
        </w:rPr>
        <w:t xml:space="preserve">бюджета Владивостокского городского округа составят:</w:t>
      </w:r>
      <w:r>
        <w:rPr>
          <w:sz w:val="28"/>
        </w:rPr>
      </w:r>
      <w:r>
        <w:rPr>
          <w:sz w:val="28"/>
        </w:rPr>
      </w:r>
    </w:p>
    <w:p>
      <w:pPr>
        <w:contextualSpacing/>
        <w:ind w:firstLine="709"/>
        <w:jc w:val="right"/>
        <w:spacing w:line="360" w:lineRule="auto"/>
        <w:rPr>
          <w:sz w:val="28"/>
        </w:rPr>
      </w:pPr>
      <w:r>
        <w:rPr>
          <w:sz w:val="28"/>
        </w:rPr>
        <w:t xml:space="preserve">тыс. рублей</w:t>
      </w:r>
      <w:r>
        <w:rPr>
          <w:sz w:val="28"/>
        </w:rPr>
      </w:r>
      <w:r>
        <w:rPr>
          <w:sz w:val="28"/>
        </w:rPr>
      </w:r>
    </w:p>
    <w:tbl>
      <w:tblPr>
        <w:tblW w:w="9725" w:type="dxa"/>
        <w:tblInd w:w="95" w:type="dxa"/>
        <w:tblLook w:val="04A0" w:firstRow="1" w:lastRow="0" w:firstColumn="1" w:lastColumn="0" w:noHBand="0" w:noVBand="1"/>
      </w:tblPr>
      <w:tblGrid>
        <w:gridCol w:w="4691"/>
        <w:gridCol w:w="1596"/>
        <w:gridCol w:w="1806"/>
        <w:gridCol w:w="1632"/>
      </w:tblGrid>
      <w:tr>
        <w:tblPrEx/>
        <w:trPr>
          <w:trHeight w:val="39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2025 год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2026 год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2027 год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ДОХОДЫ, всего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36 471 625,43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27 973 375,48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28 330 794,51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16 460 210,00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13 990 485,00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14 713 685,00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безвозмездные поступления, всего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20 011 415,43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13 982 890,48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13 617 109,51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РФ (межбюджетные трансферты)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20 011 415,43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13 982 890,48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13 617 109,51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РАСХОДЫ, всего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37 108 675,56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27 095 990,48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27 364 594,51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4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Всего распределено расходов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37 108 675,56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26 245 412,12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25 792 436,70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условно утверждаемые расходы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850 578,36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1 572 157,81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69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ДЕФИЦИ</w:t>
            </w:r>
            <w:r>
              <w:rPr>
                <w:bCs/>
                <w:color w:val="000000"/>
                <w:sz w:val="24"/>
                <w:szCs w:val="24"/>
              </w:rPr>
              <w:t xml:space="preserve">Т(</w:t>
            </w:r>
            <w:r>
              <w:rPr>
                <w:bCs/>
                <w:color w:val="000000"/>
                <w:sz w:val="24"/>
                <w:szCs w:val="24"/>
              </w:rPr>
              <w:t xml:space="preserve">-)/ПРОФИЦИТ(+)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59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-637 050, 13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806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877 385,00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632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966 200,00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</w:rPr>
        <w:t xml:space="preserve">2. Доходы.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2.1. </w:t>
      </w:r>
      <w:r>
        <w:rPr>
          <w:sz w:val="28"/>
          <w:highlight w:val="white"/>
        </w:rPr>
        <w:t xml:space="preserve">План по доходам на 2025 год увеличен н</w:t>
      </w:r>
      <w:r>
        <w:rPr>
          <w:sz w:val="28"/>
          <w:highlight w:val="white"/>
        </w:rPr>
        <w:t xml:space="preserve">а 53 148, 00 тыс. рублей</w:t>
      </w:r>
      <w:r>
        <w:rPr>
          <w:sz w:val="28"/>
          <w:highlight w:val="white"/>
        </w:rPr>
        <w:t xml:space="preserve">  и состав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ит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36 471 625,43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 тыс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.р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ублей.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План по доходам на 2025 год увеличен н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а 53 148,00 тыс. рублей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и составит  36 471 625,43   тыс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. р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ублей.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Налоговые доходы 2025 года увеличены на 15 000,00 тыс. рублей и составят 12 857 307,00 тыс. рублей.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основании сведений представленных Межрайонной ИФНС России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 № 12 увеличен план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 государственная пошлине по делам, рассматриваемым в судах общей юрисдикции, мировыми судьями (з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исключением Верховного Суда Российской Федерации) (государственная пошлина, уплачиваемая при обращении в суды) на сумму 15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00 тыс. рублей в связи с фактическим исполнением 2025 года (с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454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,00  тыс. рублей до 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310,00 тыс. рублей).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Неналоговы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 доходы в 2025 году увеличены на 38 148,00 тыс. рублей и составят  3 602 903,00 тыс. рублей.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основании сведений, представленных Управлением городской среды, увеличены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 прочие поступления от использования имущества, находящегося в собственности гор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одских округов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(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плата за предоставление ниши колумбария) на сумму 1 338,00 тыс. рублей,  в связи с увеличением  числа обращений граждан, принявших решение захоронить родственни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ков в колумбарии на кладбище «Лесное».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 основании сведений, представленных Управлением содержания жилищного фонда, увеличены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доходы от оказания платных услуг, получателями  средств бюджетов городских округов (платные усл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уги, оказываемые муниципальными казенными учреждениями),  а именно, поступление средств просроченной дебиторской задолженности по исполнительным листам на сумму 3 248,00 рублей.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 основани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 сведений, представленных Управлением дорог, увеличены доходы по оказанию услуг по присоединению объектов дорожного сервиса к автомобильным дорогам общего пользования местного значения на сумму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2 740,00 тыс. рублей за счет фактического исполнения.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Увеличены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доходы от компенсации затрат государства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возврата дебиторской задолженности  и иных платежей прошлых лет на сумму  2 183,00 тыс. рублей и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доходы от компенсации по исковым требования на сумму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632,00 тыс. рублей за счет фактическог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 поступления.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ab/>
        <w:t xml:space="preserve">На основании сведений, представленных Управлением градостроительства, увеличены доходы от компенсации затрат на осуществление освобождения самовольно занятого  земельного участка, сноса самовольных построек и иных объекто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движимого имущества на сумму  168,00 тыс.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line="324" w:lineRule="auto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 основании 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авлением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транспорта администрации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города Владивостока, по результатам фактических поступлений за 9 месяцев 2025 года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18 839,00 тыс. рублей увеличены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доходы, в том числе: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line="360" w:lineRule="auto"/>
        <w:rPr>
          <w:rFonts w:ascii="Times New Roman" w:hAnsi="Times New Roman" w:cs="Times New Roman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 ш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 в связи с фактический поступлением на сумму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1 339,00 тыс. рублей (с 0,00 тыс. рулей до 1 339,00 тыс. рублей);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left="0" w:right="0" w:firstLine="709"/>
        <w:jc w:val="both"/>
        <w:spacing w:line="360" w:lineRule="auto"/>
        <w:rPr>
          <w:rFonts w:ascii="Times New Roman" w:hAnsi="Times New Roman" w:cs="Times New Roman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 иные штрафы, неустойки, пени, уплаченные в соответствии с законом или договором в случае неисполнения или ненадлежащего исполнения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поставщиком (подрядчиком, исполнителем) обязательств, предусмотренных муниципальным контрактом)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на сумму 17 500,00 тыс. рублей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 (с 20 000,00 тыс. рублей до 37 500,00 тыс. рублей)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highlight w:val="none"/>
        </w:rPr>
        <w:t xml:space="preserve">3. Расходы.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highlight w:val="none"/>
        </w:rPr>
        <w:t xml:space="preserve">3.1. </w:t>
      </w:r>
      <w:r>
        <w:rPr>
          <w:sz w:val="28"/>
          <w:szCs w:val="28"/>
          <w:highlight w:val="none"/>
        </w:rPr>
        <w:t xml:space="preserve">В 2025 году</w:t>
      </w:r>
      <w:r>
        <w:rPr>
          <w:sz w:val="28"/>
          <w:szCs w:val="28"/>
          <w:highlight w:val="none"/>
        </w:rPr>
        <w:t xml:space="preserve"> расходная часть бюджета уточнена </w:t>
      </w:r>
      <w:r>
        <w:rPr>
          <w:sz w:val="28"/>
          <w:szCs w:val="28"/>
          <w:highlight w:val="none"/>
        </w:rPr>
        <w:t xml:space="preserve">на сумму </w:t>
      </w:r>
      <w:r>
        <w:rPr>
          <w:sz w:val="28"/>
          <w:szCs w:val="28"/>
          <w:highlight w:val="none"/>
        </w:rPr>
        <w:t xml:space="preserve">53 148,00 </w:t>
      </w:r>
      <w:r>
        <w:rPr>
          <w:sz w:val="28"/>
          <w:szCs w:val="28"/>
          <w:highlight w:val="none"/>
        </w:rPr>
        <w:t xml:space="preserve">тыс</w:t>
      </w:r>
      <w:r>
        <w:rPr>
          <w:sz w:val="28"/>
          <w:szCs w:val="28"/>
          <w:highlight w:val="none"/>
        </w:rPr>
        <w:t xml:space="preserve">.р</w:t>
      </w:r>
      <w:r>
        <w:rPr>
          <w:sz w:val="28"/>
          <w:szCs w:val="28"/>
          <w:highlight w:val="none"/>
        </w:rPr>
        <w:t xml:space="preserve">ублей за счет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увеличения налоговых и неналоговых доходов</w:t>
      </w:r>
      <w:r>
        <w:rPr>
          <w:sz w:val="28"/>
          <w:szCs w:val="28"/>
          <w:highlight w:val="none"/>
        </w:rPr>
        <w:t xml:space="preserve">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3.2. За счет увеличения налоговых и неналоговых доходов и перераспределения  бюджетных ассигнований между ГРБС, перераспределения средств с финансового резерва предусмотрено увеличение бюджетных ассигнований в 2025 году  на следующие мероприятия: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right"/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тыс.рублей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8045"/>
      </w:tblGrid>
      <w:tr>
        <w:tblPrEx/>
        <w:trPr>
          <w:trHeight w:val="299"/>
          <w:tblHeader/>
        </w:trPr>
        <w:tc>
          <w:tcPr>
            <w:tcW w:w="1808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Сумма </w:t>
            </w:r>
            <w:r>
              <w:rPr>
                <w:b/>
                <w:bCs/>
                <w:color w:val="000000"/>
                <w:sz w:val="26"/>
                <w:szCs w:val="26"/>
              </w:rPr>
            </w:r>
            <w:r>
              <w:rPr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tcW w:w="8045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Мероприятие</w:t>
            </w:r>
            <w:r>
              <w:rPr>
                <w:b/>
                <w:bCs/>
                <w:color w:val="000000"/>
                <w:sz w:val="26"/>
                <w:szCs w:val="26"/>
              </w:rPr>
            </w:r>
            <w:r>
              <w:rPr>
                <w:b/>
                <w:bCs/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428"/>
        </w:trPr>
        <w:tc>
          <w:tcPr>
            <w:tcW w:w="1808" w:type="dxa"/>
            <w:textDirection w:val="lrTb"/>
            <w:noWrap/>
          </w:tcPr>
          <w:p>
            <w:pPr>
              <w:jc w:val="righ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40 000</w:t>
            </w:r>
            <w:r>
              <w:rPr>
                <w:sz w:val="26"/>
                <w:szCs w:val="26"/>
                <w:highlight w:val="none"/>
              </w:rPr>
              <w:t xml:space="preserve">,00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8045" w:type="dxa"/>
            <w:textDirection w:val="lrTb"/>
            <w:noWrap/>
          </w:tcPr>
          <w:p>
            <w:pPr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  <w:t xml:space="preserve">На организацию и проведение культурно-досуговых мероприятий МКУК «</w:t>
            </w:r>
            <w:r>
              <w:rPr>
                <w:sz w:val="26"/>
                <w:szCs w:val="26"/>
                <w:highlight w:val="none"/>
              </w:rPr>
              <w:t xml:space="preserve">ДК "Владивосток» (Мероприятия посвященные встрече Нового 2026 года)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00"/>
        </w:trPr>
        <w:tc>
          <w:tcPr>
            <w:tcW w:w="1808" w:type="dxa"/>
            <w:textDirection w:val="lrTb"/>
            <w:noWrap/>
          </w:tcPr>
          <w:p>
            <w:pPr>
              <w:jc w:val="righ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9 920,00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8045" w:type="dxa"/>
            <w:textDirection w:val="lrTb"/>
            <w:noWrap/>
          </w:tcPr>
          <w:p>
            <w:pPr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На </w:t>
            </w:r>
            <w:r>
              <w:rPr>
                <w:sz w:val="26"/>
                <w:szCs w:val="26"/>
                <w:highlight w:val="none"/>
              </w:rPr>
              <w:t xml:space="preserve">текущий ремонт имущества на лыжной трассе на о. Русский, проведение работ по оснежению лыжной трассы, обслуживание лыжной трассы в ноябре-декабре 2025 года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00"/>
        </w:trPr>
        <w:tc>
          <w:tcPr>
            <w:tcW w:w="1808" w:type="dxa"/>
            <w:vMerge w:val="restart"/>
            <w:textDirection w:val="lrTb"/>
            <w:noWrap/>
          </w:tcPr>
          <w:p>
            <w:pPr>
              <w:jc w:val="righ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33 493,19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8045" w:type="dxa"/>
            <w:vMerge w:val="restart"/>
            <w:textDirection w:val="lrTb"/>
            <w:noWrap/>
          </w:tcPr>
          <w:p>
            <w:r>
              <w:rPr>
                <w:sz w:val="26"/>
                <w:szCs w:val="26"/>
                <w:highlight w:val="none"/>
              </w:rPr>
              <w:t xml:space="preserve">Для заключения дополнительного соглашения к муниципальному контракту по капитальному ремонту детского сада на 130 мест по адресу: г. Владивосток, </w:t>
            </w:r>
            <w:r/>
          </w:p>
          <w:p>
            <w:pPr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ул. Постышева, 7а.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57"/>
        </w:trPr>
        <w:tc>
          <w:tcPr>
            <w:tcW w:w="1808" w:type="dxa"/>
            <w:vMerge w:val="restart"/>
            <w:textDirection w:val="lrTb"/>
            <w:noWrap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83 413,19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045" w:type="dxa"/>
            <w:vMerge w:val="restart"/>
            <w:textDirection w:val="lrTb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В связи с корректировкой доходов и расходов бюджета Владивостокского гор</w:t>
      </w:r>
      <w:r>
        <w:rPr>
          <w:rFonts w:eastAsia="Calibri"/>
          <w:sz w:val="28"/>
          <w:szCs w:val="28"/>
          <w:lang w:eastAsia="en-US"/>
        </w:rPr>
        <w:t xml:space="preserve">о</w:t>
      </w:r>
      <w:r>
        <w:rPr>
          <w:rFonts w:eastAsia="Calibri"/>
          <w:sz w:val="28"/>
          <w:szCs w:val="28"/>
          <w:lang w:eastAsia="en-US"/>
        </w:rPr>
        <w:t xml:space="preserve">дского округа внесены изменения в текстовую часть и табличные приложения муниципального правового акта города Владивостока от 17.12.2024 № 145-МПА «О бюджете Владивостокского городского округа на 2025 год и плановый период 2026 и 2027 годов».</w:t>
      </w:r>
      <w:r>
        <w:rPr>
          <w:rFonts w:eastAsia="Calibri"/>
          <w:sz w:val="28"/>
          <w:szCs w:val="28"/>
          <w:highlight w:val="none"/>
          <w:lang w:eastAsia="en-US"/>
        </w:rPr>
      </w:r>
      <w:r>
        <w:rPr>
          <w:rFonts w:eastAsia="Calibri"/>
          <w:sz w:val="28"/>
          <w:szCs w:val="28"/>
          <w:highlight w:val="none"/>
          <w:lang w:eastAsia="en-US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Изложены в новой редакции следующие приложения к МПА: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приложение 1 «Источники внутреннего финансирования дефицита бюджета Владивостокского городского округа на 2025 год и плановый период 2026 и 2027 годов» (приложение 1);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приложение 3 «Распределение бюджетных ассигнований в ведомственной структуре расходов бюджета Владивостокского городского округа на 2025 год и плановый период 2026 и 2027 годов» (приложение 2);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приложение 4 «Распределение бюджетных ассигнований из бюджета Владивостокского городского округа по разделам, подразделам, целевым статьям (муниципальным программам и </w:t>
      </w:r>
      <w:r>
        <w:rPr>
          <w:sz w:val="28"/>
          <w:szCs w:val="28"/>
        </w:rPr>
        <w:t xml:space="preserve">непрограммным</w:t>
      </w:r>
      <w:r>
        <w:rPr>
          <w:sz w:val="28"/>
          <w:szCs w:val="28"/>
        </w:rPr>
        <w:t xml:space="preserve"> направлениям деятельности), группам </w:t>
      </w:r>
      <w:r>
        <w:rPr>
          <w:sz w:val="28"/>
          <w:szCs w:val="28"/>
        </w:rPr>
        <w:t xml:space="preserve">видов расходов классификации расходов бюджетов Российской Федерации</w:t>
      </w:r>
      <w:r>
        <w:rPr>
          <w:sz w:val="28"/>
          <w:szCs w:val="28"/>
        </w:rPr>
        <w:t xml:space="preserve"> на 2025 год и плановый период 2026 и 2027 годов» (приложение 3);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приложение 5 «Распределение бюджетных ассигнований из бюджета Владивостокского городского округа по целевым статьям (муниципальным программам и </w:t>
      </w:r>
      <w:r>
        <w:rPr>
          <w:sz w:val="28"/>
          <w:szCs w:val="28"/>
        </w:rPr>
        <w:t xml:space="preserve">непрограммным</w:t>
      </w:r>
      <w:r>
        <w:rPr>
          <w:sz w:val="28"/>
          <w:szCs w:val="28"/>
        </w:rPr>
        <w:t xml:space="preserve"> направлениям деятельности), группам </w:t>
      </w:r>
      <w:r>
        <w:rPr>
          <w:sz w:val="28"/>
          <w:szCs w:val="28"/>
        </w:rPr>
        <w:t xml:space="preserve">видов расходов классификации расходов бюджетов Российской Федерации</w:t>
      </w:r>
      <w:r>
        <w:rPr>
          <w:sz w:val="28"/>
          <w:szCs w:val="28"/>
        </w:rPr>
        <w:t xml:space="preserve"> на 2025 год и плановый период 2026 и 2027 годов» (приложение 4);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9 «</w:t>
      </w:r>
      <w:r>
        <w:rPr>
          <w:color w:val="000000"/>
          <w:sz w:val="28"/>
          <w:szCs w:val="28"/>
          <w:highlight w:val="none"/>
        </w:rPr>
        <w:t xml:space="preserve">Объем бюджетных ассигнований на исполнение публичных нормативных обязатель</w:t>
      </w:r>
      <w:r>
        <w:rPr>
          <w:color w:val="000000"/>
          <w:sz w:val="28"/>
          <w:szCs w:val="28"/>
          <w:highlight w:val="none"/>
        </w:rPr>
        <w:t xml:space="preserve">ств Вл</w:t>
      </w:r>
      <w:r>
        <w:rPr>
          <w:color w:val="000000"/>
          <w:sz w:val="28"/>
          <w:szCs w:val="28"/>
          <w:highlight w:val="none"/>
        </w:rPr>
        <w:t xml:space="preserve">адивостокского городского округа на 2025 год и </w:t>
      </w:r>
      <w:r>
        <w:rPr>
          <w:sz w:val="28"/>
          <w:szCs w:val="28"/>
          <w:highlight w:val="none"/>
        </w:rPr>
        <w:t xml:space="preserve">плановый период 2026 и 2027 годов» (приложение 5).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05"/>
        <w:ind w:right="-58" w:firstLine="709"/>
        <w:spacing w:line="360" w:lineRule="auto"/>
        <w:widowControl w:val="off"/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05"/>
        <w:ind w:right="-58" w:firstLine="709"/>
        <w:spacing w:line="360" w:lineRule="auto"/>
        <w:widowControl w:val="off"/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5"/>
        <w:ind w:firstLine="0"/>
        <w:jc w:val="left"/>
        <w:rPr>
          <w:lang w:val="ru-RU"/>
        </w:rPr>
      </w:pPr>
      <w:r>
        <w:rPr>
          <w:lang w:val="ru-RU"/>
        </w:rPr>
        <w:t xml:space="preserve">Первый заместитель главы администрации                                 С.М. Дмитриенко </w:t>
      </w: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077" w:left="1418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12</w:t>
    </w:r>
    <w:r>
      <w:fldChar w:fldCharType="end"/>
    </w:r>
    <w:r/>
  </w:p>
  <w:p>
    <w:pPr>
      <w:pStyle w:val="903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rPr>
        <w:rStyle w:val="906"/>
      </w:rPr>
      <w:framePr w:wrap="around" w:vAnchor="text" w:hAnchor="margin" w:xAlign="center" w:y="1"/>
    </w:pPr>
    <w:r>
      <w:rPr>
        <w:rStyle w:val="906"/>
      </w:rPr>
      <w:fldChar w:fldCharType="begin"/>
    </w:r>
    <w:r>
      <w:rPr>
        <w:rStyle w:val="906"/>
      </w:rPr>
      <w:instrText xml:space="preserve">PAGE  </w:instrText>
    </w:r>
    <w:r>
      <w:rPr>
        <w:rStyle w:val="906"/>
      </w:rPr>
      <w:fldChar w:fldCharType="end"/>
    </w:r>
    <w:r>
      <w:rPr>
        <w:rStyle w:val="906"/>
      </w:rPr>
    </w:r>
    <w:r>
      <w:rPr>
        <w:rStyle w:val="906"/>
      </w:rPr>
    </w:r>
  </w:p>
  <w:p>
    <w:pPr>
      <w:pStyle w:val="9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4">
    <w:name w:val="Subtitle Char"/>
    <w:basedOn w:val="721"/>
    <w:link w:val="746"/>
    <w:uiPriority w:val="11"/>
    <w:rPr>
      <w:sz w:val="24"/>
      <w:szCs w:val="24"/>
    </w:rPr>
  </w:style>
  <w:style w:type="character" w:styleId="715">
    <w:name w:val="Quote Char"/>
    <w:link w:val="748"/>
    <w:uiPriority w:val="29"/>
    <w:rPr>
      <w:i/>
    </w:rPr>
  </w:style>
  <w:style w:type="character" w:styleId="716">
    <w:name w:val="Intense Quote Char"/>
    <w:link w:val="750"/>
    <w:uiPriority w:val="30"/>
    <w:rPr>
      <w:i/>
    </w:rPr>
  </w:style>
  <w:style w:type="character" w:styleId="717">
    <w:name w:val="Footnote Text Char"/>
    <w:link w:val="885"/>
    <w:uiPriority w:val="99"/>
    <w:rPr>
      <w:sz w:val="18"/>
    </w:rPr>
  </w:style>
  <w:style w:type="character" w:styleId="718">
    <w:name w:val="Endnote Text Char"/>
    <w:link w:val="888"/>
    <w:uiPriority w:val="99"/>
    <w:rPr>
      <w:sz w:val="20"/>
    </w:rPr>
  </w:style>
  <w:style w:type="paragraph" w:styleId="719" w:default="1">
    <w:name w:val="Normal"/>
    <w:qFormat/>
    <w:rPr>
      <w:lang w:eastAsia="ru-RU"/>
    </w:rPr>
  </w:style>
  <w:style w:type="paragraph" w:styleId="720">
    <w:name w:val="Heading 1"/>
    <w:basedOn w:val="719"/>
    <w:next w:val="719"/>
    <w:link w:val="920"/>
    <w:qFormat/>
    <w:pPr>
      <w:jc w:val="both"/>
      <w:keepNext/>
      <w:spacing w:line="360" w:lineRule="auto"/>
      <w:outlineLvl w:val="0"/>
    </w:pPr>
    <w:rPr>
      <w:sz w:val="28"/>
      <w:lang w:val="en-US" w:eastAsia="en-US"/>
    </w:rPr>
  </w:style>
  <w:style w:type="character" w:styleId="721" w:default="1">
    <w:name w:val="Default Paragraph Font"/>
    <w:uiPriority w:val="1"/>
    <w:semiHidden/>
    <w:unhideWhenUsed/>
  </w:style>
  <w:style w:type="table" w:styleId="72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3" w:default="1">
    <w:name w:val="No List"/>
    <w:uiPriority w:val="99"/>
    <w:semiHidden/>
    <w:unhideWhenUsed/>
  </w:style>
  <w:style w:type="paragraph" w:styleId="724" w:customStyle="1">
    <w:name w:val="Heading 1"/>
    <w:basedOn w:val="719"/>
    <w:next w:val="719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5" w:customStyle="1">
    <w:name w:val="Heading 1 Char"/>
    <w:link w:val="724"/>
    <w:uiPriority w:val="9"/>
    <w:rPr>
      <w:rFonts w:ascii="Arial" w:hAnsi="Arial" w:eastAsia="Arial" w:cs="Arial"/>
      <w:sz w:val="40"/>
      <w:szCs w:val="40"/>
    </w:rPr>
  </w:style>
  <w:style w:type="paragraph" w:styleId="726" w:customStyle="1">
    <w:name w:val="Heading 2"/>
    <w:basedOn w:val="719"/>
    <w:next w:val="719"/>
    <w:link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7" w:customStyle="1">
    <w:name w:val="Heading 2 Char"/>
    <w:link w:val="726"/>
    <w:uiPriority w:val="9"/>
    <w:rPr>
      <w:rFonts w:ascii="Arial" w:hAnsi="Arial" w:eastAsia="Arial" w:cs="Arial"/>
      <w:sz w:val="34"/>
    </w:rPr>
  </w:style>
  <w:style w:type="paragraph" w:styleId="728" w:customStyle="1">
    <w:name w:val="Heading 3"/>
    <w:basedOn w:val="719"/>
    <w:next w:val="719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9" w:customStyle="1">
    <w:name w:val="Heading 3 Char"/>
    <w:link w:val="728"/>
    <w:uiPriority w:val="9"/>
    <w:rPr>
      <w:rFonts w:ascii="Arial" w:hAnsi="Arial" w:eastAsia="Arial" w:cs="Arial"/>
      <w:sz w:val="30"/>
      <w:szCs w:val="30"/>
    </w:rPr>
  </w:style>
  <w:style w:type="paragraph" w:styleId="730" w:customStyle="1">
    <w:name w:val="Heading 4"/>
    <w:basedOn w:val="719"/>
    <w:next w:val="719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Heading 4 Char"/>
    <w:link w:val="730"/>
    <w:uiPriority w:val="9"/>
    <w:rPr>
      <w:rFonts w:ascii="Arial" w:hAnsi="Arial" w:eastAsia="Arial" w:cs="Arial"/>
      <w:b/>
      <w:bCs/>
      <w:sz w:val="26"/>
      <w:szCs w:val="26"/>
    </w:rPr>
  </w:style>
  <w:style w:type="paragraph" w:styleId="732" w:customStyle="1">
    <w:name w:val="Heading 5"/>
    <w:basedOn w:val="719"/>
    <w:next w:val="719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Heading 5 Char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 w:customStyle="1">
    <w:name w:val="Heading 6"/>
    <w:basedOn w:val="719"/>
    <w:next w:val="719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Heading 6 Char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 w:customStyle="1">
    <w:name w:val="Heading 7"/>
    <w:basedOn w:val="719"/>
    <w:next w:val="719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Heading 7 Char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 w:customStyle="1">
    <w:name w:val="Heading 8"/>
    <w:basedOn w:val="719"/>
    <w:next w:val="719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Heading 8 Char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 w:customStyle="1">
    <w:name w:val="Heading 9"/>
    <w:basedOn w:val="719"/>
    <w:next w:val="719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Heading 9 Char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List Paragraph"/>
    <w:basedOn w:val="71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43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44">
    <w:name w:val="Title"/>
    <w:basedOn w:val="719"/>
    <w:link w:val="913"/>
    <w:qFormat/>
    <w:pPr>
      <w:jc w:val="center"/>
    </w:pPr>
    <w:rPr>
      <w:b/>
      <w:sz w:val="28"/>
      <w:lang w:val="en-US" w:eastAsia="en-US"/>
    </w:rPr>
  </w:style>
  <w:style w:type="character" w:styleId="745" w:customStyle="1">
    <w:name w:val="Title Char"/>
    <w:link w:val="744"/>
    <w:uiPriority w:val="10"/>
    <w:rPr>
      <w:sz w:val="48"/>
      <w:szCs w:val="48"/>
    </w:rPr>
  </w:style>
  <w:style w:type="paragraph" w:styleId="746">
    <w:name w:val="Subtitle"/>
    <w:basedOn w:val="719"/>
    <w:next w:val="719"/>
    <w:link w:val="747"/>
    <w:uiPriority w:val="11"/>
    <w:qFormat/>
    <w:pPr>
      <w:spacing w:before="200" w:after="200"/>
    </w:pPr>
    <w:rPr>
      <w:sz w:val="24"/>
      <w:szCs w:val="24"/>
    </w:rPr>
  </w:style>
  <w:style w:type="character" w:styleId="747" w:customStyle="1">
    <w:name w:val="Подзаголовок Знак"/>
    <w:link w:val="746"/>
    <w:uiPriority w:val="11"/>
    <w:rPr>
      <w:sz w:val="24"/>
      <w:szCs w:val="24"/>
    </w:rPr>
  </w:style>
  <w:style w:type="paragraph" w:styleId="748">
    <w:name w:val="Quote"/>
    <w:basedOn w:val="719"/>
    <w:next w:val="719"/>
    <w:link w:val="749"/>
    <w:uiPriority w:val="29"/>
    <w:qFormat/>
    <w:pPr>
      <w:ind w:left="720" w:right="720"/>
    </w:pPr>
    <w:rPr>
      <w:i/>
    </w:rPr>
  </w:style>
  <w:style w:type="character" w:styleId="749" w:customStyle="1">
    <w:name w:val="Цитата 2 Знак"/>
    <w:link w:val="748"/>
    <w:uiPriority w:val="29"/>
    <w:rPr>
      <w:i/>
    </w:rPr>
  </w:style>
  <w:style w:type="paragraph" w:styleId="750">
    <w:name w:val="Intense Quote"/>
    <w:basedOn w:val="719"/>
    <w:next w:val="719"/>
    <w:link w:val="7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 w:customStyle="1">
    <w:name w:val="Выделенная цитата Знак"/>
    <w:link w:val="750"/>
    <w:uiPriority w:val="30"/>
    <w:rPr>
      <w:i/>
    </w:rPr>
  </w:style>
  <w:style w:type="paragraph" w:styleId="752" w:customStyle="1">
    <w:name w:val="Header"/>
    <w:basedOn w:val="719"/>
    <w:link w:val="75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3" w:customStyle="1">
    <w:name w:val="Header Char"/>
    <w:link w:val="752"/>
    <w:uiPriority w:val="99"/>
  </w:style>
  <w:style w:type="paragraph" w:styleId="754" w:customStyle="1">
    <w:name w:val="Footer"/>
    <w:basedOn w:val="719"/>
    <w:link w:val="75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5" w:customStyle="1">
    <w:name w:val="Footer Char"/>
    <w:link w:val="754"/>
    <w:uiPriority w:val="99"/>
  </w:style>
  <w:style w:type="paragraph" w:styleId="756" w:customStyle="1">
    <w:name w:val="Caption"/>
    <w:basedOn w:val="719"/>
    <w:next w:val="719"/>
    <w:link w:val="7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7" w:customStyle="1">
    <w:name w:val="Caption Char"/>
    <w:link w:val="754"/>
    <w:uiPriority w:val="99"/>
  </w:style>
  <w:style w:type="table" w:styleId="758">
    <w:name w:val="Table Grid"/>
    <w:basedOn w:val="722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5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3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7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8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6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4">
    <w:name w:val="Hyperlink"/>
    <w:uiPriority w:val="99"/>
    <w:unhideWhenUsed/>
    <w:rPr>
      <w:color w:val="0000ff" w:themeColor="hyperlink"/>
      <w:u w:val="single"/>
    </w:rPr>
  </w:style>
  <w:style w:type="paragraph" w:styleId="885">
    <w:name w:val="footnote text"/>
    <w:basedOn w:val="719"/>
    <w:link w:val="886"/>
    <w:uiPriority w:val="99"/>
    <w:semiHidden/>
    <w:unhideWhenUsed/>
    <w:pPr>
      <w:spacing w:after="40"/>
    </w:pPr>
    <w:rPr>
      <w:sz w:val="18"/>
    </w:rPr>
  </w:style>
  <w:style w:type="character" w:styleId="886" w:customStyle="1">
    <w:name w:val="Текст сноски Знак"/>
    <w:link w:val="885"/>
    <w:uiPriority w:val="99"/>
    <w:rPr>
      <w:sz w:val="18"/>
    </w:rPr>
  </w:style>
  <w:style w:type="character" w:styleId="887">
    <w:name w:val="footnote reference"/>
    <w:uiPriority w:val="99"/>
    <w:unhideWhenUsed/>
    <w:rPr>
      <w:vertAlign w:val="superscript"/>
    </w:rPr>
  </w:style>
  <w:style w:type="paragraph" w:styleId="888">
    <w:name w:val="endnote text"/>
    <w:basedOn w:val="719"/>
    <w:link w:val="889"/>
    <w:uiPriority w:val="99"/>
    <w:semiHidden/>
    <w:unhideWhenUsed/>
  </w:style>
  <w:style w:type="character" w:styleId="889" w:customStyle="1">
    <w:name w:val="Текст концевой сноски Знак"/>
    <w:link w:val="888"/>
    <w:uiPriority w:val="99"/>
    <w:rPr>
      <w:sz w:val="20"/>
    </w:rPr>
  </w:style>
  <w:style w:type="character" w:styleId="890">
    <w:name w:val="endnote reference"/>
    <w:uiPriority w:val="99"/>
    <w:semiHidden/>
    <w:unhideWhenUsed/>
    <w:rPr>
      <w:vertAlign w:val="superscript"/>
    </w:rPr>
  </w:style>
  <w:style w:type="paragraph" w:styleId="891">
    <w:name w:val="toc 1"/>
    <w:basedOn w:val="719"/>
    <w:next w:val="719"/>
    <w:uiPriority w:val="39"/>
    <w:unhideWhenUsed/>
    <w:pPr>
      <w:spacing w:after="57"/>
    </w:pPr>
  </w:style>
  <w:style w:type="paragraph" w:styleId="892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93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94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95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96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97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98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9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900">
    <w:name w:val="TOC Heading"/>
    <w:uiPriority w:val="39"/>
    <w:unhideWhenUsed/>
  </w:style>
  <w:style w:type="paragraph" w:styleId="901">
    <w:name w:val="table of figures"/>
    <w:basedOn w:val="719"/>
    <w:next w:val="719"/>
    <w:uiPriority w:val="99"/>
    <w:unhideWhenUsed/>
  </w:style>
  <w:style w:type="paragraph" w:styleId="902">
    <w:name w:val="Body Text"/>
    <w:basedOn w:val="719"/>
    <w:link w:val="917"/>
    <w:rPr>
      <w:sz w:val="28"/>
      <w:lang w:val="en-US" w:eastAsia="en-US"/>
    </w:rPr>
  </w:style>
  <w:style w:type="paragraph" w:styleId="903">
    <w:name w:val="Header"/>
    <w:basedOn w:val="719"/>
    <w:link w:val="912"/>
    <w:uiPriority w:val="99"/>
    <w:pPr>
      <w:tabs>
        <w:tab w:val="center" w:pos="4153" w:leader="none"/>
        <w:tab w:val="right" w:pos="8306" w:leader="none"/>
      </w:tabs>
    </w:pPr>
  </w:style>
  <w:style w:type="paragraph" w:styleId="904">
    <w:name w:val="Footer"/>
    <w:basedOn w:val="719"/>
    <w:pPr>
      <w:tabs>
        <w:tab w:val="center" w:pos="4153" w:leader="none"/>
        <w:tab w:val="right" w:pos="8306" w:leader="none"/>
      </w:tabs>
    </w:pPr>
  </w:style>
  <w:style w:type="paragraph" w:styleId="905">
    <w:name w:val="Body Text Indent"/>
    <w:basedOn w:val="719"/>
    <w:link w:val="914"/>
    <w:pPr>
      <w:ind w:firstLine="851"/>
      <w:jc w:val="both"/>
    </w:pPr>
    <w:rPr>
      <w:sz w:val="28"/>
      <w:lang w:val="en-US" w:eastAsia="en-US"/>
    </w:rPr>
  </w:style>
  <w:style w:type="character" w:styleId="906">
    <w:name w:val="page number"/>
    <w:basedOn w:val="721"/>
  </w:style>
  <w:style w:type="paragraph" w:styleId="907">
    <w:name w:val="Balloon Text"/>
    <w:basedOn w:val="719"/>
    <w:semiHidden/>
    <w:rPr>
      <w:rFonts w:ascii="Tahoma" w:hAnsi="Tahoma" w:cs="Tahoma"/>
      <w:sz w:val="16"/>
      <w:szCs w:val="16"/>
    </w:rPr>
  </w:style>
  <w:style w:type="paragraph" w:styleId="908">
    <w:name w:val="Body Text Indent 2"/>
    <w:basedOn w:val="719"/>
    <w:pPr>
      <w:ind w:left="283"/>
      <w:spacing w:after="120" w:line="480" w:lineRule="auto"/>
    </w:pPr>
  </w:style>
  <w:style w:type="paragraph" w:styleId="909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paragraph" w:styleId="910" w:customStyle="1">
    <w:name w:val="ConsNormal"/>
    <w:pPr>
      <w:ind w:right="19772" w:firstLine="720"/>
      <w:widowControl w:val="off"/>
    </w:pPr>
    <w:rPr>
      <w:rFonts w:ascii="Arial" w:hAnsi="Arial"/>
      <w:lang w:eastAsia="ru-RU"/>
    </w:rPr>
  </w:style>
  <w:style w:type="paragraph" w:styleId="911">
    <w:name w:val="Body Text Indent 3"/>
    <w:basedOn w:val="719"/>
    <w:link w:val="927"/>
    <w:uiPriority w:val="99"/>
    <w:pPr>
      <w:ind w:left="283"/>
      <w:spacing w:after="120"/>
    </w:pPr>
    <w:rPr>
      <w:sz w:val="16"/>
      <w:szCs w:val="16"/>
      <w:lang w:val="en-US" w:eastAsia="en-US"/>
    </w:rPr>
  </w:style>
  <w:style w:type="character" w:styleId="912" w:customStyle="1">
    <w:name w:val="Верхний колонтитул Знак"/>
    <w:basedOn w:val="721"/>
    <w:link w:val="903"/>
    <w:uiPriority w:val="99"/>
  </w:style>
  <w:style w:type="character" w:styleId="913" w:customStyle="1">
    <w:name w:val="Название Знак"/>
    <w:link w:val="744"/>
    <w:rPr>
      <w:b/>
      <w:sz w:val="28"/>
    </w:rPr>
  </w:style>
  <w:style w:type="character" w:styleId="914" w:customStyle="1">
    <w:name w:val="Основной текст с отступом Знак"/>
    <w:link w:val="905"/>
    <w:rPr>
      <w:sz w:val="28"/>
    </w:rPr>
  </w:style>
  <w:style w:type="paragraph" w:styleId="915">
    <w:name w:val="Body Text 2"/>
    <w:basedOn w:val="719"/>
    <w:link w:val="916"/>
    <w:pPr>
      <w:jc w:val="both"/>
      <w:widowControl w:val="off"/>
    </w:pPr>
    <w:rPr>
      <w:sz w:val="28"/>
    </w:rPr>
  </w:style>
  <w:style w:type="character" w:styleId="916" w:customStyle="1">
    <w:name w:val="Основной текст 2 Знак"/>
    <w:basedOn w:val="721"/>
    <w:link w:val="915"/>
  </w:style>
  <w:style w:type="character" w:styleId="917" w:customStyle="1">
    <w:name w:val="Основной текст Знак"/>
    <w:link w:val="902"/>
    <w:rPr>
      <w:sz w:val="28"/>
    </w:rPr>
  </w:style>
  <w:style w:type="paragraph" w:styleId="918">
    <w:name w:val="Plain Text"/>
    <w:basedOn w:val="719"/>
    <w:link w:val="919"/>
    <w:unhideWhenUsed/>
    <w:rPr>
      <w:rFonts w:ascii="Courier New" w:hAnsi="Courier New"/>
      <w:lang w:val="en-US" w:eastAsia="en-US"/>
    </w:rPr>
  </w:style>
  <w:style w:type="character" w:styleId="919" w:customStyle="1">
    <w:name w:val="Текст Знак"/>
    <w:link w:val="918"/>
    <w:rPr>
      <w:rFonts w:ascii="Courier New" w:hAnsi="Courier New"/>
    </w:rPr>
  </w:style>
  <w:style w:type="character" w:styleId="920" w:customStyle="1">
    <w:name w:val="Заголовок 1 Знак"/>
    <w:link w:val="720"/>
    <w:rPr>
      <w:sz w:val="28"/>
    </w:rPr>
  </w:style>
  <w:style w:type="paragraph" w:styleId="921" w:customStyle="1">
    <w:name w:val="заглавие"/>
    <w:basedOn w:val="719"/>
    <w:rPr>
      <w:sz w:val="28"/>
    </w:rPr>
  </w:style>
  <w:style w:type="paragraph" w:styleId="922" w:customStyle="1">
    <w:name w:val="Знак"/>
    <w:basedOn w:val="719"/>
    <w:pPr>
      <w:spacing w:after="160" w:line="240" w:lineRule="exact"/>
    </w:pPr>
    <w:rPr>
      <w:rFonts w:eastAsia="Calibri"/>
      <w:lang w:eastAsia="zh-CN"/>
    </w:rPr>
  </w:style>
  <w:style w:type="paragraph" w:styleId="923" w:customStyle="1">
    <w:name w:val="Обращение"/>
    <w:basedOn w:val="719"/>
    <w:pPr>
      <w:jc w:val="center"/>
    </w:pPr>
    <w:rPr>
      <w:sz w:val="28"/>
      <w:szCs w:val="28"/>
    </w:rPr>
  </w:style>
  <w:style w:type="paragraph" w:styleId="924" w:customStyle="1">
    <w:name w:val="Обычный1"/>
    <w:rPr>
      <w:sz w:val="24"/>
      <w:lang w:eastAsia="ru-RU"/>
    </w:rPr>
  </w:style>
  <w:style w:type="paragraph" w:styleId="925" w:customStyle="1">
    <w:name w:val="ConsPlusNormal"/>
    <w:rPr>
      <w:sz w:val="28"/>
      <w:szCs w:val="28"/>
      <w:lang w:eastAsia="ru-RU"/>
    </w:rPr>
  </w:style>
  <w:style w:type="paragraph" w:styleId="926">
    <w:name w:val="Normal (Web)"/>
    <w:basedOn w:val="719"/>
    <w:unhideWhenUsed/>
    <w:pPr>
      <w:ind w:firstLine="225"/>
      <w:spacing w:before="240" w:after="100" w:afterAutospacing="1"/>
    </w:pPr>
    <w:rPr>
      <w:rFonts w:ascii="Verdana" w:hAnsi="Verdana"/>
      <w:color w:val="000000"/>
      <w:sz w:val="16"/>
      <w:szCs w:val="16"/>
    </w:rPr>
  </w:style>
  <w:style w:type="character" w:styleId="927" w:customStyle="1">
    <w:name w:val="Основной текст с отступом 3 Знак"/>
    <w:link w:val="911"/>
    <w:uiPriority w:val="99"/>
    <w:rPr>
      <w:sz w:val="16"/>
      <w:szCs w:val="16"/>
    </w:rPr>
  </w:style>
  <w:style w:type="character" w:styleId="928">
    <w:name w:val="Emphasis"/>
    <w:basedOn w:val="721"/>
    <w:qFormat/>
    <w:rPr>
      <w:i/>
      <w:iCs/>
    </w:rPr>
  </w:style>
  <w:style w:type="paragraph" w:styleId="929" w:customStyle="1">
    <w:name w:val="ConsPlusTitle"/>
    <w:uiPriority w:val="99"/>
    <w:pPr>
      <w:widowControl w:val="off"/>
    </w:pPr>
    <w:rPr>
      <w:rFonts w:ascii="Arial" w:hAnsi="Arial" w:cs="Arial"/>
      <w:b/>
      <w:bCs/>
      <w:lang w:eastAsia="ru-RU"/>
    </w:rPr>
  </w:style>
  <w:style w:type="paragraph" w:styleId="930" w:customStyle="1">
    <w:name w:val="caaieiaie 6"/>
    <w:basedOn w:val="719"/>
    <w:next w:val="719"/>
    <w:pPr>
      <w:jc w:val="center"/>
      <w:keepNext/>
    </w:pPr>
    <w:rPr>
      <w:sz w:val="24"/>
      <w:szCs w:val="24"/>
    </w:rPr>
  </w:style>
  <w:style w:type="paragraph" w:styleId="931" w:customStyle="1">
    <w:name w:val="Основной текст1"/>
    <w:pPr>
      <w:jc w:val="both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lang w:eastAsia="ru-RU"/>
    </w:rPr>
  </w:style>
  <w:style w:type="character" w:styleId="932" w:customStyle="1">
    <w:name w:val="docdata;docy;v5;1591;bqiaagaaeyqcaaagiaiaaaovawaabamdaaaaaaaaaaaaaaaaaaaaaaaaaaaaaaaaaaaaaaaaaaaaaaaaaaaaaaaaaaaaaaaaaaaaaaaaaaaaaaaaaaaaaaaaaaaaaaaaaaaaaaaaaaaaaaaaaaaaaaaaaaaaaaaaaaaaaaaaaaaaaaaaaaaaaaaaaaaaaaaaaaaaaaaaaaaaaaaaaaaaaaaaaaaaaaaaaaaaaaaa"/>
  </w:style>
  <w:style w:type="paragraph" w:styleId="933" w:customStyle="1">
    <w:name w:val="958;bqiaagaaeyqcaaagiaiaaanbawaabwkdaaaaaaaaaaaaaaaaaaaaaaaaaaaaaaaaaaaaaaaaaaaaaaaaaaaaaaaaaaaaaaaaaaaaaaaaaaaaaaaaaaaaaaaaaaaaaaaaaaaaaaaaaaaaaaaaaaaaaaaaaaaaaaaaaaaaaaaaaaaaaaaaaaaaaaaaaaaaaaaaaaaaaaaaaaaaaaaaaaaaaaaaaaaaaaaaaaaaaaaa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34" w:customStyle="1">
    <w:name w:val="1191"/>
    <w:basedOn w:val="77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CtrlSoft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 на вопросы депутатов городской Думы</dc:title>
  <dc:creator>P III 733</dc:creator>
  <cp:revision>41</cp:revision>
  <dcterms:created xsi:type="dcterms:W3CDTF">2024-11-20T05:16:00Z</dcterms:created>
  <dcterms:modified xsi:type="dcterms:W3CDTF">2025-10-14T02:30:24Z</dcterms:modified>
  <cp:version>786432</cp:version>
</cp:coreProperties>
</file>